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-69850</wp:posOffset>
                </wp:positionV>
                <wp:extent cx="1411605" cy="276225"/>
                <wp:effectExtent l="5715" t="6985" r="11430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72.45pt;margin-top:-5.5pt;width:111.1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" strokecolor="white">
                <v:textbox style="mso-fit-shape-to-text:t">
                  <w:txbxContent>
                    <w:p w:rsidR="00B97D29" w:rsidRDefault="00B97D29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0</wp:posOffset>
                </wp:positionV>
                <wp:extent cx="914400" cy="342900"/>
                <wp:effectExtent l="13335" t="13335" r="5715" b="571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396pt;margin-top:0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" strokecolor="white">
                <v:textbox>
                  <w:txbxContent>
                    <w:p w:rsidR="00B97D29" w:rsidRDefault="00B97D29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</w:rPr>
        <w:drawing>
          <wp:inline distT="0" distB="0" distL="0" distR="0">
            <wp:extent cx="1314450" cy="933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jc w:val="center"/>
        <w:rPr>
          <w:b/>
          <w:sz w:val="28"/>
          <w:szCs w:val="28"/>
        </w:rPr>
      </w:pP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XLIX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tbl>
      <w:tblPr>
        <w:tblW w:w="9531" w:type="dxa"/>
        <w:tblInd w:w="108" w:type="dxa"/>
        <w:tblLook w:val="01E0" w:firstRow="1" w:lastRow="1" w:firstColumn="1" w:lastColumn="1" w:noHBand="0" w:noVBand="0"/>
      </w:tblPr>
      <w:tblGrid>
        <w:gridCol w:w="4944"/>
        <w:gridCol w:w="4587"/>
      </w:tblGrid>
      <w:tr>
        <w:trPr>
          <w:trHeight w:val="401"/>
        </w:trPr>
        <w:tc>
          <w:tcPr>
            <w:tcW w:w="4944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lang w:val="en-US"/>
              </w:rPr>
              <w:t xml:space="preserve">22 </w:t>
            </w:r>
            <w:r>
              <w:rPr>
                <w:sz w:val="28"/>
                <w:szCs w:val="28"/>
              </w:rPr>
              <w:t>февраля 202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587" w:type="dxa"/>
          </w:tcPr>
          <w:p>
            <w:pPr>
              <w:ind w:right="-2" w:firstLin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№ 338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87" w:type="dxa"/>
          <w:trHeight w:val="618"/>
        </w:trPr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="4727"/>
              <w:contextualSpacing/>
              <w:jc w:val="both"/>
              <w:rPr>
                <w:sz w:val="28"/>
                <w:szCs w:val="28"/>
              </w:rPr>
            </w:pPr>
          </w:p>
          <w:p>
            <w:pPr>
              <w:ind w:right="4727"/>
              <w:contextualSpacing/>
              <w:jc w:val="both"/>
              <w:rPr>
                <w:sz w:val="28"/>
                <w:szCs w:val="28"/>
              </w:rPr>
            </w:pPr>
          </w:p>
          <w:p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перечня объектов муниципального имущества городского округа Анадырь, </w:t>
            </w:r>
            <w:r>
              <w:rPr>
                <w:bCs/>
                <w:sz w:val="28"/>
                <w:szCs w:val="28"/>
              </w:rPr>
              <w:t>предлагаемого к безвозмездной передаче</w:t>
            </w:r>
            <w:r>
              <w:rPr>
                <w:sz w:val="28"/>
                <w:szCs w:val="28"/>
              </w:rPr>
              <w:t xml:space="preserve"> в собственность Чукотского автономного округа </w:t>
            </w:r>
          </w:p>
        </w:tc>
      </w:tr>
    </w:tbl>
    <w:p>
      <w:pPr>
        <w:tabs>
          <w:tab w:val="left" w:pos="1005"/>
        </w:tabs>
        <w:suppressAutoHyphens/>
        <w:ind w:right="4727"/>
        <w:contextualSpacing/>
        <w:jc w:val="both"/>
        <w:rPr>
          <w:sz w:val="28"/>
          <w:szCs w:val="28"/>
        </w:rPr>
      </w:pPr>
    </w:p>
    <w:p>
      <w:pPr>
        <w:tabs>
          <w:tab w:val="left" w:pos="1005"/>
        </w:tabs>
        <w:suppressAutoHyphens/>
        <w:contextualSpacing/>
        <w:jc w:val="both"/>
        <w:rPr>
          <w:sz w:val="28"/>
          <w:szCs w:val="28"/>
        </w:rPr>
      </w:pPr>
    </w:p>
    <w:p>
      <w:pPr>
        <w:ind w:right="-1" w:firstLine="708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частью 11 статьи 154 Федерального закона от 22 августа 2004</w:t>
      </w:r>
      <w:r>
        <w:rPr>
          <w:sz w:val="28"/>
          <w:szCs w:val="28"/>
        </w:rPr>
        <w:br/>
        <w:t xml:space="preserve">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Решением Совета депутатов городского округа Анадырь от 25 декабря 2008 года № 496 «Об утверждении Положения об управлении и распоряжении муниципальным имуществом, находящимся в собственности городского округа Анадырь», Уставом городского округа Анадырь, </w:t>
      </w:r>
    </w:p>
    <w:p>
      <w:pPr>
        <w:ind w:firstLine="708"/>
        <w:contextualSpacing/>
        <w:jc w:val="both"/>
        <w:rPr>
          <w:b/>
          <w:sz w:val="28"/>
          <w:szCs w:val="28"/>
        </w:rPr>
      </w:pPr>
    </w:p>
    <w:p>
      <w:pPr>
        <w:tabs>
          <w:tab w:val="left" w:pos="1005"/>
        </w:tabs>
        <w:suppressAutoHyphens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contextualSpacing/>
        <w:jc w:val="both"/>
        <w:rPr>
          <w:b/>
          <w:bCs/>
          <w:sz w:val="28"/>
          <w:szCs w:val="28"/>
        </w:rPr>
      </w:pPr>
    </w:p>
    <w:p>
      <w:pPr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И Л:</w:t>
      </w:r>
    </w:p>
    <w:p>
      <w:pPr>
        <w:contextualSpacing/>
        <w:jc w:val="both"/>
        <w:rPr>
          <w:b/>
          <w:bCs/>
          <w:sz w:val="28"/>
          <w:szCs w:val="28"/>
        </w:rPr>
      </w:pPr>
    </w:p>
    <w:p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объектов муниципального имущества городского округа Анадырь, </w:t>
      </w:r>
      <w:r>
        <w:rPr>
          <w:bCs/>
          <w:sz w:val="28"/>
          <w:szCs w:val="28"/>
        </w:rPr>
        <w:t>предлагаемого к безвозмездной передаче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 собственность Чукотского автономного округа.</w:t>
      </w:r>
    </w:p>
    <w:p>
      <w:pPr>
        <w:ind w:firstLine="709"/>
        <w:contextualSpacing/>
        <w:jc w:val="both"/>
        <w:rPr>
          <w:sz w:val="28"/>
          <w:szCs w:val="28"/>
        </w:rPr>
      </w:pPr>
    </w:p>
    <w:p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со дня его подписания.</w:t>
      </w:r>
    </w:p>
    <w:p>
      <w:pPr>
        <w:jc w:val="both"/>
      </w:pPr>
      <w:r>
        <w:tab/>
      </w:r>
    </w:p>
    <w:p>
      <w:pPr>
        <w:jc w:val="both"/>
        <w:rPr>
          <w:sz w:val="28"/>
          <w:szCs w:val="28"/>
        </w:rPr>
      </w:pPr>
    </w:p>
    <w:p>
      <w:pPr>
        <w:tabs>
          <w:tab w:val="num" w:pos="0"/>
        </w:tabs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_________________Л.А. Николаев</w:t>
            </w:r>
          </w:p>
        </w:tc>
        <w:tc>
          <w:tcPr>
            <w:tcW w:w="5103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22 февраля 2022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338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a3"/>
        <w:rPr>
          <w:rFonts w:ascii="Times New Roman" w:hAnsi="Times New Roman"/>
          <w:b/>
          <w:sz w:val="28"/>
          <w:szCs w:val="28"/>
        </w:rPr>
        <w:sectPr>
          <w:pgSz w:w="12240" w:h="15840"/>
          <w:pgMar w:top="426" w:right="850" w:bottom="567" w:left="1701" w:header="720" w:footer="720" w:gutter="0"/>
          <w:cols w:space="720"/>
        </w:sectPr>
      </w:pPr>
    </w:p>
    <w:tbl>
      <w:tblPr>
        <w:tblW w:w="14175" w:type="dxa"/>
        <w:tblLook w:val="0000" w:firstRow="0" w:lastRow="0" w:firstColumn="0" w:lastColumn="0" w:noHBand="0" w:noVBand="0"/>
      </w:tblPr>
      <w:tblGrid>
        <w:gridCol w:w="5670"/>
        <w:gridCol w:w="8505"/>
      </w:tblGrid>
      <w:tr>
        <w:tc>
          <w:tcPr>
            <w:tcW w:w="5670" w:type="dxa"/>
          </w:tcPr>
          <w:p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Совета депутатов </w:t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Анадырь</w:t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 февраля 2023 года № 338</w:t>
            </w:r>
            <w:bookmarkStart w:id="0" w:name="_GoBack"/>
            <w:bookmarkEnd w:id="0"/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объектов муниципального имущества городского округа Анадырь</w:t>
      </w:r>
      <w:r>
        <w:rPr>
          <w:b/>
          <w:color w:val="FF0000"/>
          <w:sz w:val="28"/>
          <w:szCs w:val="28"/>
        </w:rPr>
        <w:t>,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предлагаемого к безвозмездной передаче в собственность Чукотского автономного округа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Объект движимого имущества – модульное сооружение близ Вертолётной площадки:</w:t>
      </w:r>
    </w:p>
    <w:p>
      <w:pPr>
        <w:ind w:left="1080"/>
        <w:jc w:val="both"/>
        <w:rPr>
          <w:b/>
          <w:sz w:val="28"/>
          <w:szCs w:val="28"/>
        </w:rPr>
      </w:pP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610"/>
        <w:gridCol w:w="1843"/>
        <w:gridCol w:w="1701"/>
        <w:gridCol w:w="2977"/>
        <w:gridCol w:w="1559"/>
        <w:gridCol w:w="1559"/>
      </w:tblGrid>
      <w:tr>
        <w:tc>
          <w:tcPr>
            <w:tcW w:w="617" w:type="dxa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10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имущества</w:t>
            </w:r>
          </w:p>
        </w:tc>
        <w:tc>
          <w:tcPr>
            <w:tcW w:w="1843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Площадь объекта</w:t>
            </w:r>
          </w:p>
        </w:tc>
        <w:tc>
          <w:tcPr>
            <w:tcW w:w="1701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Реестровый </w:t>
            </w:r>
          </w:p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номер</w:t>
            </w:r>
          </w:p>
        </w:tc>
        <w:tc>
          <w:tcPr>
            <w:tcW w:w="2977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Индивидуализирующие характеристики имущества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Балансовая стоимость (руб.)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Остаточная стоимость (руб.)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</w:p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модульное сооружение вместе с материалами, изделиями, оборудованием и конструкциями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148,5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087М18Д0807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назначение: нежилое, этаж 1, электроснабжение в наличии и в исправном состоянии, водоснабжение (локальное, привозное), водоотведение, с/узел (биотуалет, септик), вход через центральное крыльцо, в наличии пандус</w:t>
            </w:r>
          </w:p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 изготовления 2021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9 569 600,00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9 569 600,00</w:t>
            </w:r>
          </w:p>
        </w:tc>
      </w:tr>
    </w:tbl>
    <w:p>
      <w:pPr>
        <w:jc w:val="both"/>
        <w:rPr>
          <w:sz w:val="28"/>
          <w:szCs w:val="28"/>
        </w:rPr>
        <w:sectPr>
          <w:pgSz w:w="15840" w:h="12240" w:orient="landscape"/>
          <w:pgMar w:top="1701" w:right="425" w:bottom="851" w:left="567" w:header="720" w:footer="720" w:gutter="0"/>
          <w:cols w:space="720"/>
        </w:sectPr>
      </w:pPr>
    </w:p>
    <w:p>
      <w:pPr>
        <w:jc w:val="both"/>
        <w:rPr>
          <w:sz w:val="28"/>
          <w:szCs w:val="28"/>
        </w:rPr>
      </w:pPr>
    </w:p>
    <w:sectPr>
      <w:pgSz w:w="12240" w:h="15840"/>
      <w:pgMar w:top="426" w:right="850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F4F65"/>
    <w:multiLevelType w:val="hybridMultilevel"/>
    <w:tmpl w:val="F51CCB00"/>
    <w:lvl w:ilvl="0" w:tplc="64EAD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2C4E4-2248-4A95-B60D-E76101B7B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(лев. подпись)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8</cp:revision>
  <cp:lastPrinted>2023-02-21T22:53:00Z</cp:lastPrinted>
  <dcterms:created xsi:type="dcterms:W3CDTF">2023-02-14T23:15:00Z</dcterms:created>
  <dcterms:modified xsi:type="dcterms:W3CDTF">2023-02-21T23:24:00Z</dcterms:modified>
</cp:coreProperties>
</file>